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Generale Regionale indetto da </w:t>
      </w:r>
      <w:r w:rsidR="00E250E1">
        <w:rPr>
          <w:rFonts w:ascii="Times New Roman" w:hAnsi="Times New Roman" w:cs="Times New Roman"/>
          <w:sz w:val="28"/>
          <w:szCs w:val="24"/>
        </w:rPr>
        <w:t xml:space="preserve">SISA (Sindacato indipendente Scuola e Ambiente)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E250E1">
        <w:rPr>
          <w:rFonts w:ascii="Times New Roman" w:hAnsi="Times New Roman" w:cs="Times New Roman"/>
          <w:b/>
          <w:sz w:val="28"/>
          <w:szCs w:val="24"/>
        </w:rPr>
        <w:t>19/04/2024</w:t>
      </w:r>
      <w:bookmarkStart w:id="0" w:name="_GoBack"/>
      <w:bookmarkEnd w:id="0"/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67B1D"/>
    <w:rsid w:val="00C415B3"/>
    <w:rsid w:val="00DE196E"/>
    <w:rsid w:val="00E250E1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586C-5EC8-4511-A9FF-2AD6D356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9</cp:revision>
  <dcterms:created xsi:type="dcterms:W3CDTF">2022-11-14T08:17:00Z</dcterms:created>
  <dcterms:modified xsi:type="dcterms:W3CDTF">2024-04-16T06:21:00Z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